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FF41E3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免于行政强制事项清单</w:t>
      </w:r>
    </w:p>
    <w:p w14:paraId="531CF309">
      <w:pPr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单位：（公章）</w:t>
      </w:r>
    </w:p>
    <w:tbl>
      <w:tblPr>
        <w:tblStyle w:val="3"/>
        <w:tblW w:w="145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3544"/>
        <w:gridCol w:w="2342"/>
        <w:gridCol w:w="2833"/>
        <w:gridCol w:w="3130"/>
        <w:gridCol w:w="1725"/>
      </w:tblGrid>
      <w:tr w14:paraId="153A1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986" w:type="dxa"/>
            <w:vAlign w:val="center"/>
          </w:tcPr>
          <w:p w14:paraId="5129AAD0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3544" w:type="dxa"/>
            <w:vAlign w:val="center"/>
          </w:tcPr>
          <w:p w14:paraId="19B1A90A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行政强制事项名称</w:t>
            </w:r>
          </w:p>
        </w:tc>
        <w:tc>
          <w:tcPr>
            <w:tcW w:w="2342" w:type="dxa"/>
            <w:vAlign w:val="center"/>
          </w:tcPr>
          <w:p w14:paraId="0E7C5BDF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实施机关</w:t>
            </w:r>
          </w:p>
        </w:tc>
        <w:tc>
          <w:tcPr>
            <w:tcW w:w="2833" w:type="dxa"/>
            <w:vAlign w:val="center"/>
          </w:tcPr>
          <w:p w14:paraId="700FF5C3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免于行政强制的情形</w:t>
            </w:r>
          </w:p>
        </w:tc>
        <w:tc>
          <w:tcPr>
            <w:tcW w:w="3130" w:type="dxa"/>
            <w:vAlign w:val="center"/>
          </w:tcPr>
          <w:p w14:paraId="0DDC9083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免于行政强制的依据</w:t>
            </w:r>
          </w:p>
        </w:tc>
        <w:tc>
          <w:tcPr>
            <w:tcW w:w="1725" w:type="dxa"/>
            <w:vAlign w:val="center"/>
          </w:tcPr>
          <w:p w14:paraId="45AA543C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 w14:paraId="46D0C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986" w:type="dxa"/>
            <w:vAlign w:val="center"/>
          </w:tcPr>
          <w:p w14:paraId="324F9F0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44" w:type="dxa"/>
            <w:vAlign w:val="center"/>
          </w:tcPr>
          <w:p w14:paraId="1160EB5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无</w:t>
            </w:r>
            <w:bookmarkEnd w:id="0"/>
          </w:p>
        </w:tc>
        <w:tc>
          <w:tcPr>
            <w:tcW w:w="2342" w:type="dxa"/>
            <w:vAlign w:val="center"/>
          </w:tcPr>
          <w:p w14:paraId="24B445D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833" w:type="dxa"/>
            <w:vAlign w:val="center"/>
          </w:tcPr>
          <w:p w14:paraId="57432A1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130" w:type="dxa"/>
            <w:vAlign w:val="center"/>
          </w:tcPr>
          <w:p w14:paraId="74B86694"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25" w:type="dxa"/>
            <w:vAlign w:val="center"/>
          </w:tcPr>
          <w:p w14:paraId="450D79F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1D82E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86" w:type="dxa"/>
            <w:vAlign w:val="center"/>
          </w:tcPr>
          <w:p w14:paraId="4A77BD4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14:paraId="02E394A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2" w:type="dxa"/>
            <w:vAlign w:val="center"/>
          </w:tcPr>
          <w:p w14:paraId="37D6B18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833" w:type="dxa"/>
            <w:vAlign w:val="center"/>
          </w:tcPr>
          <w:p w14:paraId="4AFCD2C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130" w:type="dxa"/>
            <w:vAlign w:val="center"/>
          </w:tcPr>
          <w:p w14:paraId="6584C3E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25" w:type="dxa"/>
            <w:vAlign w:val="center"/>
          </w:tcPr>
          <w:p w14:paraId="5C95876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373E5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86" w:type="dxa"/>
            <w:vAlign w:val="center"/>
          </w:tcPr>
          <w:p w14:paraId="2F464DE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14:paraId="78A1000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2" w:type="dxa"/>
            <w:vAlign w:val="center"/>
          </w:tcPr>
          <w:p w14:paraId="0390FD1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833" w:type="dxa"/>
            <w:vAlign w:val="center"/>
          </w:tcPr>
          <w:p w14:paraId="29FD14C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130" w:type="dxa"/>
            <w:vAlign w:val="center"/>
          </w:tcPr>
          <w:p w14:paraId="58B887A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25" w:type="dxa"/>
            <w:vAlign w:val="center"/>
          </w:tcPr>
          <w:p w14:paraId="5A54B29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531ED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86" w:type="dxa"/>
            <w:vAlign w:val="center"/>
          </w:tcPr>
          <w:p w14:paraId="6F8D817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14:paraId="7D78FD3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2" w:type="dxa"/>
            <w:vAlign w:val="center"/>
          </w:tcPr>
          <w:p w14:paraId="729948F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833" w:type="dxa"/>
            <w:vAlign w:val="center"/>
          </w:tcPr>
          <w:p w14:paraId="47F2474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130" w:type="dxa"/>
            <w:vAlign w:val="center"/>
          </w:tcPr>
          <w:p w14:paraId="1B70004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25" w:type="dxa"/>
            <w:vAlign w:val="center"/>
          </w:tcPr>
          <w:p w14:paraId="41BD069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1C4AD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86" w:type="dxa"/>
            <w:vAlign w:val="center"/>
          </w:tcPr>
          <w:p w14:paraId="6B6709E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14:paraId="30B6FAE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2" w:type="dxa"/>
            <w:vAlign w:val="center"/>
          </w:tcPr>
          <w:p w14:paraId="1AA3CF3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833" w:type="dxa"/>
            <w:vAlign w:val="center"/>
          </w:tcPr>
          <w:p w14:paraId="7097F18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130" w:type="dxa"/>
            <w:vAlign w:val="center"/>
          </w:tcPr>
          <w:p w14:paraId="2166234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25" w:type="dxa"/>
            <w:vAlign w:val="center"/>
          </w:tcPr>
          <w:p w14:paraId="0896395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E608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86" w:type="dxa"/>
            <w:vAlign w:val="center"/>
          </w:tcPr>
          <w:p w14:paraId="6928042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14:paraId="04028D1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2" w:type="dxa"/>
            <w:vAlign w:val="center"/>
          </w:tcPr>
          <w:p w14:paraId="23FA5F9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833" w:type="dxa"/>
            <w:vAlign w:val="center"/>
          </w:tcPr>
          <w:p w14:paraId="4E94102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130" w:type="dxa"/>
            <w:vAlign w:val="center"/>
          </w:tcPr>
          <w:p w14:paraId="177448F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25" w:type="dxa"/>
            <w:vAlign w:val="center"/>
          </w:tcPr>
          <w:p w14:paraId="2368CAE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145D5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86" w:type="dxa"/>
            <w:vAlign w:val="center"/>
          </w:tcPr>
          <w:p w14:paraId="59B1724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14:paraId="46230A1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2" w:type="dxa"/>
            <w:vAlign w:val="center"/>
          </w:tcPr>
          <w:p w14:paraId="5EA8F99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833" w:type="dxa"/>
            <w:vAlign w:val="center"/>
          </w:tcPr>
          <w:p w14:paraId="1AFBB37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130" w:type="dxa"/>
            <w:vAlign w:val="center"/>
          </w:tcPr>
          <w:p w14:paraId="192A0CE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25" w:type="dxa"/>
            <w:vAlign w:val="center"/>
          </w:tcPr>
          <w:p w14:paraId="60945E6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0E189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86" w:type="dxa"/>
            <w:vAlign w:val="center"/>
          </w:tcPr>
          <w:p w14:paraId="4EE9C2E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14:paraId="75519A1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2" w:type="dxa"/>
            <w:vAlign w:val="center"/>
          </w:tcPr>
          <w:p w14:paraId="6CB3C9F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833" w:type="dxa"/>
            <w:vAlign w:val="center"/>
          </w:tcPr>
          <w:p w14:paraId="6FDF2A1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130" w:type="dxa"/>
            <w:vAlign w:val="center"/>
          </w:tcPr>
          <w:p w14:paraId="02F6240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25" w:type="dxa"/>
            <w:vAlign w:val="center"/>
          </w:tcPr>
          <w:p w14:paraId="5E31FE7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5B530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86" w:type="dxa"/>
            <w:vAlign w:val="center"/>
          </w:tcPr>
          <w:p w14:paraId="4E62909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544" w:type="dxa"/>
            <w:vAlign w:val="center"/>
          </w:tcPr>
          <w:p w14:paraId="1424D3F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42" w:type="dxa"/>
            <w:vAlign w:val="center"/>
          </w:tcPr>
          <w:p w14:paraId="108573C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833" w:type="dxa"/>
            <w:vAlign w:val="center"/>
          </w:tcPr>
          <w:p w14:paraId="5D286F1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130" w:type="dxa"/>
            <w:vAlign w:val="center"/>
          </w:tcPr>
          <w:p w14:paraId="06DEFB3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25" w:type="dxa"/>
            <w:vAlign w:val="center"/>
          </w:tcPr>
          <w:p w14:paraId="5EED565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 w14:paraId="31E064EE">
      <w:pPr>
        <w:rPr>
          <w:rFonts w:hint="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72C62"/>
    <w:rsid w:val="0F3E5E34"/>
    <w:rsid w:val="225A1CCA"/>
    <w:rsid w:val="2C4D08BE"/>
    <w:rsid w:val="31FA0BF6"/>
    <w:rsid w:val="482819D0"/>
    <w:rsid w:val="64FC72FD"/>
    <w:rsid w:val="6DA97519"/>
    <w:rsid w:val="756102DE"/>
    <w:rsid w:val="76E72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52</Characters>
  <Lines>0</Lines>
  <Paragraphs>0</Paragraphs>
  <TotalTime>10</TotalTime>
  <ScaleCrop>false</ScaleCrop>
  <LinksUpToDate>false</LinksUpToDate>
  <CharactersWithSpaces>52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2020-10-30T06:30:00Z</dcterms:created>
  <dc:creator>Administrator</dc:creator>
  <cp:lastModifiedBy>毕胜</cp:lastModifiedBy>
  <dcterms:modified xsi:type="dcterms:W3CDTF">2025-10-28T05:23:29Z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A63102195E224FFEB045FB06DED33193_13</vt:lpwstr>
  </property>
</Properties>
</file>